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171D" w14:textId="77777777" w:rsidR="000152F5" w:rsidRDefault="000152F5" w:rsidP="000152F5">
      <w:pPr>
        <w:shd w:val="clear" w:color="auto" w:fill="FFFFFF"/>
        <w:spacing w:before="300" w:after="150" w:line="240" w:lineRule="auto"/>
        <w:outlineLvl w:val="2"/>
        <w:rPr>
          <w:rFonts w:ascii="Trebuchet MS" w:eastAsia="Times New Roman" w:hAnsi="Trebuchet MS" w:cs="Helvetica"/>
          <w:b/>
        </w:rPr>
      </w:pPr>
    </w:p>
    <w:p w14:paraId="3371FBBF" w14:textId="77777777" w:rsidR="000152F5" w:rsidRPr="000F736F" w:rsidRDefault="000152F5" w:rsidP="000152F5">
      <w:pPr>
        <w:pStyle w:val="Titlu"/>
        <w:rPr>
          <w:color w:val="00000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58628058"/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 wp14:anchorId="1521BDD8" wp14:editId="4A7CB420">
            <wp:simplePos x="0" y="0"/>
            <wp:positionH relativeFrom="column">
              <wp:posOffset>-405130</wp:posOffset>
            </wp:positionH>
            <wp:positionV relativeFrom="paragraph">
              <wp:posOffset>45720</wp:posOffset>
            </wp:positionV>
            <wp:extent cx="745490" cy="942340"/>
            <wp:effectExtent l="0" t="0" r="0" b="0"/>
            <wp:wrapNone/>
            <wp:docPr id="7" name="Imagine 7" descr="Stema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4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36F">
        <w:rPr>
          <w:color w:val="000000"/>
          <w:sz w:val="32"/>
          <w:szCs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CONSILIUL JUDEŢEAN OLT</w:t>
      </w:r>
    </w:p>
    <w:p w14:paraId="36D3AF45" w14:textId="77777777" w:rsidR="000152F5" w:rsidRPr="000F736F" w:rsidRDefault="000152F5" w:rsidP="000152F5">
      <w:pPr>
        <w:pStyle w:val="Titlu"/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736F"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DIRECŢIA GENERALĂ DE ASISTENŢĂ SOCIALĂ ŞI PROTECŢIA COPILULUI</w:t>
      </w:r>
    </w:p>
    <w:p w14:paraId="71F7BE95" w14:textId="001C4080" w:rsidR="000152F5" w:rsidRDefault="000152F5" w:rsidP="000152F5">
      <w:pPr>
        <w:pStyle w:val="Subtitlu"/>
        <w:ind w:right="-65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Slatina, str. </w:t>
      </w:r>
      <w:r w:rsidR="009F6237">
        <w:rPr>
          <w:sz w:val="22"/>
          <w:szCs w:val="22"/>
        </w:rPr>
        <w:t>Drăgănești nr. 7</w:t>
      </w:r>
      <w:r>
        <w:rPr>
          <w:sz w:val="22"/>
          <w:szCs w:val="22"/>
        </w:rPr>
        <w:t>, jud Olt, tel: 0349/408182, fax: 0349/408183</w:t>
      </w:r>
    </w:p>
    <w:p w14:paraId="48575623" w14:textId="77777777" w:rsidR="000152F5" w:rsidRDefault="000152F5" w:rsidP="000152F5">
      <w:pPr>
        <w:pStyle w:val="Subtitlu"/>
        <w:ind w:right="-650"/>
        <w:jc w:val="center"/>
        <w:rPr>
          <w:b w:val="0"/>
        </w:rPr>
      </w:pPr>
      <w:r>
        <w:t xml:space="preserve">e-mail: </w:t>
      </w:r>
      <w:hyperlink r:id="rId9" w:history="1">
        <w:r w:rsidRPr="006225EA">
          <w:rPr>
            <w:rStyle w:val="Hyperlink"/>
          </w:rPr>
          <w:t>office@dgaspc-olt.ro</w:t>
        </w:r>
      </w:hyperlink>
      <w:r>
        <w:t xml:space="preserve">; web: </w:t>
      </w:r>
      <w:hyperlink r:id="rId10" w:history="1">
        <w:r w:rsidRPr="006225EA">
          <w:rPr>
            <w:rStyle w:val="Hyperlink"/>
          </w:rPr>
          <w:t>www.dgaspc-olt.ro</w:t>
        </w:r>
      </w:hyperlink>
    </w:p>
    <w:p w14:paraId="599047DE" w14:textId="77777777" w:rsidR="000152F5" w:rsidRDefault="000152F5" w:rsidP="000152F5">
      <w:pPr>
        <w:pStyle w:val="Titlu3"/>
        <w:ind w:left="1170" w:hanging="360"/>
        <w:rPr>
          <w:rFonts w:ascii="Verdana" w:hAnsi="Verdana"/>
          <w:sz w:val="26"/>
          <w:szCs w:val="26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7135B" wp14:editId="694E5AD4">
                <wp:simplePos x="0" y="0"/>
                <wp:positionH relativeFrom="column">
                  <wp:posOffset>200025</wp:posOffset>
                </wp:positionH>
                <wp:positionV relativeFrom="paragraph">
                  <wp:posOffset>95250</wp:posOffset>
                </wp:positionV>
                <wp:extent cx="6172200" cy="0"/>
                <wp:effectExtent l="35560" t="31115" r="31115" b="35560"/>
                <wp:wrapNone/>
                <wp:docPr id="6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D2FFB" id="Conector drep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7.5pt" to="50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0F21F09C" w14:textId="0049B942" w:rsidR="000152F5" w:rsidRPr="00427104" w:rsidRDefault="000152F5" w:rsidP="000152F5">
      <w:pPr>
        <w:pStyle w:val="Frspaiere"/>
        <w:jc w:val="center"/>
        <w:rPr>
          <w:rFonts w:ascii="Times New Roman" w:hAnsi="Times New Roman" w:cs="Times New Roman"/>
          <w:sz w:val="18"/>
          <w:szCs w:val="18"/>
        </w:rPr>
      </w:pPr>
      <w:r w:rsidRPr="00427104">
        <w:rPr>
          <w:rFonts w:ascii="Times New Roman" w:hAnsi="Times New Roman" w:cs="Times New Roman"/>
          <w:sz w:val="18"/>
          <w:szCs w:val="18"/>
        </w:rPr>
        <w:t>Serviciul monitorizare, analiză statistică, indicatori asistență socială și incluziune socială,</w:t>
      </w:r>
    </w:p>
    <w:p w14:paraId="241845CC" w14:textId="77777777" w:rsidR="000152F5" w:rsidRPr="00427104" w:rsidRDefault="000152F5" w:rsidP="000152F5">
      <w:pPr>
        <w:pStyle w:val="Frspaiere"/>
        <w:jc w:val="center"/>
        <w:rPr>
          <w:rFonts w:ascii="Times New Roman" w:hAnsi="Times New Roman" w:cs="Times New Roman"/>
          <w:sz w:val="18"/>
          <w:szCs w:val="18"/>
        </w:rPr>
      </w:pPr>
      <w:r w:rsidRPr="00427104">
        <w:rPr>
          <w:rFonts w:ascii="Times New Roman" w:hAnsi="Times New Roman" w:cs="Times New Roman"/>
          <w:sz w:val="18"/>
          <w:szCs w:val="18"/>
        </w:rPr>
        <w:t>strategii programe, proiecte în domeniul asistenței sociale și relația cu organizațiile</w:t>
      </w:r>
    </w:p>
    <w:p w14:paraId="523A74A1" w14:textId="77777777" w:rsidR="000152F5" w:rsidRPr="00427104" w:rsidRDefault="000152F5" w:rsidP="000152F5">
      <w:pPr>
        <w:pStyle w:val="Frspaiere"/>
        <w:jc w:val="center"/>
        <w:rPr>
          <w:rFonts w:ascii="Times New Roman" w:hAnsi="Times New Roman" w:cs="Times New Roman"/>
          <w:sz w:val="18"/>
          <w:szCs w:val="18"/>
        </w:rPr>
      </w:pPr>
      <w:r w:rsidRPr="00427104">
        <w:rPr>
          <w:rFonts w:ascii="Times New Roman" w:hAnsi="Times New Roman" w:cs="Times New Roman"/>
          <w:sz w:val="18"/>
          <w:szCs w:val="18"/>
        </w:rPr>
        <w:t>neguvernamentale, comunicare, registratură și relații cu publicul</w:t>
      </w:r>
    </w:p>
    <w:p w14:paraId="2799364E" w14:textId="3889204B" w:rsidR="000152F5" w:rsidRPr="004D0B25" w:rsidRDefault="000152F5" w:rsidP="004D0B25">
      <w:pPr>
        <w:jc w:val="right"/>
        <w:rPr>
          <w:sz w:val="24"/>
          <w:szCs w:val="24"/>
        </w:rPr>
      </w:pPr>
      <w:r w:rsidRPr="004D0B25">
        <w:rPr>
          <w:sz w:val="24"/>
          <w:szCs w:val="24"/>
        </w:rPr>
        <w:t xml:space="preserve">                                                             </w:t>
      </w:r>
      <w:r w:rsidR="004D0B25" w:rsidRPr="004D0B25">
        <w:rPr>
          <w:sz w:val="24"/>
          <w:szCs w:val="24"/>
        </w:rPr>
        <w:t xml:space="preserve">Nr. </w:t>
      </w:r>
      <w:r w:rsidR="00C12813">
        <w:rPr>
          <w:sz w:val="24"/>
          <w:szCs w:val="24"/>
        </w:rPr>
        <w:t>1617</w:t>
      </w:r>
      <w:r w:rsidR="004D0B25" w:rsidRPr="004D0B25">
        <w:rPr>
          <w:sz w:val="24"/>
          <w:szCs w:val="24"/>
        </w:rPr>
        <w:t>/CCR/.</w:t>
      </w:r>
      <w:r w:rsidR="00C12813">
        <w:rPr>
          <w:sz w:val="24"/>
          <w:szCs w:val="24"/>
        </w:rPr>
        <w:t>16.01.2026</w:t>
      </w:r>
      <w:r w:rsidRPr="004D0B25">
        <w:rPr>
          <w:sz w:val="24"/>
          <w:szCs w:val="24"/>
        </w:rPr>
        <w:t xml:space="preserve">                                       </w:t>
      </w:r>
    </w:p>
    <w:bookmarkEnd w:id="0"/>
    <w:p w14:paraId="7376297A" w14:textId="56E3141D" w:rsidR="00FD22BC" w:rsidRPr="00FD22BC" w:rsidRDefault="00591987" w:rsidP="000152F5">
      <w:pPr>
        <w:shd w:val="clear" w:color="auto" w:fill="FFFFFF"/>
        <w:spacing w:before="300" w:after="150" w:line="240" w:lineRule="auto"/>
        <w:jc w:val="right"/>
        <w:outlineLvl w:val="2"/>
        <w:rPr>
          <w:rFonts w:ascii="Trebuchet MS" w:eastAsia="Times New Roman" w:hAnsi="Trebuchet MS" w:cs="Helvetica"/>
          <w:b/>
        </w:rPr>
      </w:pPr>
      <w:r w:rsidRPr="00FD22BC">
        <w:rPr>
          <w:rFonts w:ascii="Trebuchet MS" w:eastAsia="Times New Roman" w:hAnsi="Trebuchet MS" w:cs="Helvetica"/>
          <w:b/>
        </w:rPr>
        <w:t xml:space="preserve">Anexa </w:t>
      </w:r>
      <w:r w:rsidR="00FD22BC" w:rsidRPr="00FD22BC">
        <w:rPr>
          <w:rFonts w:ascii="Trebuchet MS" w:eastAsia="Times New Roman" w:hAnsi="Trebuchet MS" w:cs="Helvetica"/>
          <w:b/>
        </w:rPr>
        <w:t xml:space="preserve">nr. </w:t>
      </w:r>
      <w:r w:rsidR="00805BD7">
        <w:rPr>
          <w:rFonts w:ascii="Trebuchet MS" w:eastAsia="Times New Roman" w:hAnsi="Trebuchet MS" w:cs="Helvetica"/>
          <w:b/>
        </w:rPr>
        <w:t xml:space="preserve">2 la adresa MDLPA </w:t>
      </w:r>
    </w:p>
    <w:p w14:paraId="6D8CA6EB" w14:textId="6B9FFB3C" w:rsidR="00A91889" w:rsidRPr="005E0856" w:rsidRDefault="00A91889" w:rsidP="00A91889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sz w:val="36"/>
          <w:szCs w:val="36"/>
        </w:rPr>
      </w:pPr>
      <w:r w:rsidRPr="005E0856">
        <w:rPr>
          <w:rFonts w:ascii="Helvetica" w:eastAsia="Times New Roman" w:hAnsi="Helvetica" w:cs="Helvetica"/>
          <w:sz w:val="36"/>
          <w:szCs w:val="36"/>
        </w:rPr>
        <w:t>Inventarul măsurilor preventive</w:t>
      </w:r>
      <w:r w:rsidR="001213B5" w:rsidRPr="005E0856">
        <w:rPr>
          <w:rFonts w:ascii="Helvetica" w:eastAsia="Times New Roman" w:hAnsi="Helvetica" w:cs="Helvetica"/>
          <w:sz w:val="36"/>
          <w:szCs w:val="36"/>
        </w:rPr>
        <w:t>, precum și indicatorii de evaluare</w:t>
      </w:r>
    </w:p>
    <w:tbl>
      <w:tblPr>
        <w:tblW w:w="5189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930"/>
        <w:gridCol w:w="3901"/>
        <w:gridCol w:w="3605"/>
        <w:gridCol w:w="1043"/>
      </w:tblGrid>
      <w:tr w:rsidR="008E1743" w:rsidRPr="005E0856" w14:paraId="5A48BC4D" w14:textId="124D06F9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EC7E88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EF64E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Măsură preventivă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29752F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Sediul materiei</w:t>
            </w:r>
          </w:p>
          <w:p w14:paraId="76FBF270" w14:textId="149370FE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(Enumerarea nu este exhaustivă)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0A64D" w14:textId="3B16D398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Indicatori de evaluare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113A07" w14:textId="58FA297C" w:rsidR="008E1743" w:rsidRPr="005E0856" w:rsidRDefault="00021FC6" w:rsidP="008E1743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2025</w:t>
            </w:r>
          </w:p>
        </w:tc>
      </w:tr>
      <w:tr w:rsidR="008E1743" w:rsidRPr="005E0856" w14:paraId="2B0A4D0D" w14:textId="1FEBE188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6CB821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1.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0A1E0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Cod etic/deontologic/de conduită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15D99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Ordonanța de Urgență a Guvernului nr. 57/2019 privind Codul administrativ, cu modificările și completările ulterioare</w:t>
            </w:r>
          </w:p>
          <w:p w14:paraId="572DF12B" w14:textId="56A92806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Ordinul Secretariatului General al Guvernului nr. 600/2018 privind aprobarea Codului controlului intern managerial al entităților publice </w:t>
            </w:r>
          </w:p>
          <w:p w14:paraId="1889E979" w14:textId="1978B6CB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Legea nr. 303/2004 privind statutul judecătorilor și procurorilor, republicată, cu modificările și completările ulterioare</w:t>
            </w:r>
          </w:p>
          <w:p w14:paraId="7DCE86A5" w14:textId="4CC893FA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Hotărârea Guvernului nr. 991/2005 pentru aprobarea Codului de etică și deontologie al polițistului</w:t>
            </w:r>
          </w:p>
          <w:p w14:paraId="47FD0D47" w14:textId="36DC536E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Hotărârea Consiliului Superior al Magistraturii nr. 328/2005 pentru aprobarea Codului deontologic al judecătorilor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procurorilor</w:t>
            </w:r>
          </w:p>
          <w:p w14:paraId="3481D7F2" w14:textId="77777777" w:rsidR="008E1743" w:rsidRPr="005E0856" w:rsidRDefault="008E1743" w:rsidP="00ED21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1F348C4" w14:textId="3717B10F" w:rsidR="008E1743" w:rsidRPr="005E0856" w:rsidRDefault="008E1743" w:rsidP="00ED211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Hotărârea Parlamentului nr. 77 din 11 octombrie 2017 privind Codul de conduită al deputaților și senatorilor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B5739" w14:textId="1005D95B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sesizări privind încălcări ale codului</w:t>
            </w:r>
          </w:p>
          <w:p w14:paraId="3045ADE9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sesizări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soluţionate</w:t>
            </w:r>
            <w:proofErr w:type="spellEnd"/>
          </w:p>
          <w:p w14:paraId="7C2D8E1F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Durata medie a procedurilor</w:t>
            </w:r>
          </w:p>
          <w:p w14:paraId="7AB22A3A" w14:textId="02DF4CE2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decizii prin care s-a confirmat încălcarea codului</w:t>
            </w:r>
          </w:p>
          <w:p w14:paraId="200AF3B9" w14:textId="1318BE88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F34D566" w14:textId="63C722CE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decizii infirmate în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instanţă</w:t>
            </w:r>
            <w:proofErr w:type="spellEnd"/>
          </w:p>
          <w:p w14:paraId="08EB980E" w14:textId="5E9F900E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cunoaştere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către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angajaţi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 codului </w:t>
            </w:r>
          </w:p>
          <w:p w14:paraId="5134F713" w14:textId="698F3331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7F77143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persoane care au fost instruite prin intermediul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acţiunilor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formare profesională</w:t>
            </w:r>
          </w:p>
          <w:p w14:paraId="6AC0FD9D" w14:textId="35ABD065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25E69B6" w14:textId="7F734714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F2B63A" w14:textId="6B01EBED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ADF0DAC" w14:textId="43C4D272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49EE57A" w14:textId="70CA26D1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Permanent</w:t>
            </w:r>
          </w:p>
          <w:p w14:paraId="5434098C" w14:textId="1640241A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E3B0DBB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C5AB1C3" w14:textId="35B5BCCF" w:rsidR="008E1743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1BC1EF99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100%</w:t>
            </w:r>
          </w:p>
          <w:p w14:paraId="0C72C00B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12728D0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F2D7445" w14:textId="77777777" w:rsidR="008C034A" w:rsidRDefault="008C034A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E875033" w14:textId="4482F2CA" w:rsidR="00384F52" w:rsidRDefault="00021FC6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B7D1316" w14:textId="77777777" w:rsidR="008C034A" w:rsidRDefault="008C034A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737E0B8" w14:textId="6655A2FB" w:rsidR="008C034A" w:rsidRPr="005E0856" w:rsidRDefault="008C034A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</w:tr>
      <w:tr w:rsidR="008E1743" w:rsidRPr="005E0856" w14:paraId="5254C113" w14:textId="75B4C32A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AAEC9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2.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01E4C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Declararea averilor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E3EA4F" w14:textId="77777777" w:rsidR="008E1743" w:rsidRPr="005E0856" w:rsidRDefault="008E1743" w:rsidP="003075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Ordonanța de Urgență a Guvernului nr. 57/2019 privind Codul administrativ, cu modificările și completările ulterioare</w:t>
            </w:r>
          </w:p>
          <w:p w14:paraId="45BC59D9" w14:textId="0117E273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176/2010 privind integritatea în exercitarea funcțiilor și demnităților publice, pentru modificarea și completarea Legii nr. 144/2007 privind înființarea, organizarea și funcționarea </w:t>
            </w: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Agenției Naționale de Integritate, precum și pentru modificarea și completarea altor acte normative</w:t>
            </w:r>
          </w:p>
          <w:p w14:paraId="65CFA8F4" w14:textId="4F0EEB91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161/2003 privind unele măsuri pentru asigurarea transparenței în exercitarea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demnităţilor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publice, 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mediul de afaceri, prevenirea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sancţionarea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cu modificările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completările ulterioare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5A344" w14:textId="5DDE6E03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Număr de persoane care au obligația depunerii declarației de avere</w:t>
            </w:r>
          </w:p>
          <w:p w14:paraId="6D1A6264" w14:textId="685211A9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persoane care nu au depus în termen declarația de avere</w:t>
            </w:r>
          </w:p>
          <w:p w14:paraId="283D921D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sesizări ale ANI</w:t>
            </w:r>
          </w:p>
          <w:p w14:paraId="5D1B18B5" w14:textId="659F9CBF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Număr de decizii ANI privind personalul instituției</w:t>
            </w:r>
          </w:p>
          <w:p w14:paraId="6C7CF04A" w14:textId="6D957875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decizii ale ANI puse în aplicare</w:t>
            </w:r>
          </w:p>
          <w:p w14:paraId="101B4909" w14:textId="2FAD66F5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consultații oferite de persoanele responsabile pentru implementarea prevederilor legale privind declarațiile de avere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declarațiile de interese</w:t>
            </w:r>
          </w:p>
          <w:p w14:paraId="01CDA561" w14:textId="3AC890F4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cunoaștere de către angajați a normelor privind declararea averilor </w:t>
            </w:r>
          </w:p>
          <w:p w14:paraId="2F6860C2" w14:textId="7AA65D3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persoane care au fost instruite prin intermediul acțiunilor de formare profesională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5E6E01" w14:textId="6EE13AAB" w:rsidR="00384F52" w:rsidRDefault="00021FC6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162</w:t>
            </w:r>
          </w:p>
          <w:p w14:paraId="57B2F96A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DEC6811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F590EB1" w14:textId="56956834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1EA827D0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E8AC08D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EB8AB32" w14:textId="6D8C835D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0B40C83" w14:textId="7DCB6270" w:rsidR="00384F52" w:rsidRDefault="00021FC6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162</w:t>
            </w:r>
          </w:p>
          <w:p w14:paraId="770F0100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84FDCB7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EBD9952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02A9A5E5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100%</w:t>
            </w:r>
          </w:p>
          <w:p w14:paraId="6962F570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4AF3643" w14:textId="7E8C4CA2" w:rsidR="00384F52" w:rsidRDefault="00021FC6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  <w:r w:rsidR="00384F52">
              <w:rPr>
                <w:rFonts w:ascii="Helvetica" w:eastAsia="Times New Roman" w:hAnsi="Helvetica" w:cs="Helvetica"/>
                <w:sz w:val="21"/>
                <w:szCs w:val="21"/>
              </w:rPr>
              <w:t>2</w:t>
            </w:r>
          </w:p>
          <w:p w14:paraId="32B017AC" w14:textId="78E9E7F2" w:rsidR="00384F52" w:rsidRPr="005E0856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</w:tr>
      <w:tr w:rsidR="008E1743" w:rsidRPr="005E0856" w14:paraId="1CED975B" w14:textId="2888ED3D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FE480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3.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DB9DE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Declararea cadourilor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082C4" w14:textId="2ADC19FF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Legea nr. 251/2004 privind unele măsuri referitoare la bunurile primite cu titlu gratuit cu prilejul unor acțiuni de protocol în exercitarea mandatului sau a funcției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BD0C1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cadouri înregistrate în registru</w:t>
            </w:r>
          </w:p>
          <w:p w14:paraId="0C543C08" w14:textId="58689392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>umăr</w:t>
            </w: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 de cadouri publicate pe site-ul instituției</w:t>
            </w:r>
          </w:p>
          <w:p w14:paraId="681A3EA1" w14:textId="77777777" w:rsidR="00384F52" w:rsidRDefault="00384F52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446D9B4" w14:textId="77777777" w:rsidR="00384F52" w:rsidRDefault="00384F52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1620F49" w14:textId="51E188B8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umăr </w:t>
            </w: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cadouri păstrate de angajat</w:t>
            </w:r>
          </w:p>
          <w:p w14:paraId="49F12335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Valoarea totală a cadourilor primite </w:t>
            </w:r>
          </w:p>
          <w:p w14:paraId="42E0913B" w14:textId="7EFF375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cunoaștere de către angajați a normelor privind declararea cadourilor </w:t>
            </w:r>
          </w:p>
          <w:p w14:paraId="5CB4BE18" w14:textId="49F278F5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persoane care au fost instruite prin intermediul acțiunilor de formare profesională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334601" w14:textId="2A9CC649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5CA42560" w14:textId="57D4E1BF" w:rsidR="00384F52" w:rsidRPr="00080551" w:rsidRDefault="00384F52" w:rsidP="00384F52">
            <w:pPr>
              <w:jc w:val="center"/>
            </w:pPr>
            <w:r w:rsidRPr="00384F52"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384F52">
              <w:rPr>
                <w:rFonts w:ascii="Helvetica" w:eastAsia="Times New Roman" w:hAnsi="Helvetica" w:cs="Helvetica"/>
                <w:sz w:val="18"/>
                <w:szCs w:val="18"/>
              </w:rPr>
              <w:t>(</w:t>
            </w:r>
            <w:r w:rsidRPr="00384F52">
              <w:rPr>
                <w:sz w:val="18"/>
                <w:szCs w:val="18"/>
              </w:rPr>
              <w:t>Notă privind inventarierea bunurilor primite cu titlu gratuit</w:t>
            </w:r>
          </w:p>
          <w:p w14:paraId="4C5E1016" w14:textId="3D1AA695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5F83C7FE" w14:textId="427573F3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-</w:t>
            </w:r>
          </w:p>
          <w:p w14:paraId="29FF290E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100%</w:t>
            </w:r>
          </w:p>
          <w:p w14:paraId="13EAED0A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27D9CBD" w14:textId="77777777" w:rsidR="00384F52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8020924" w14:textId="57F2E83C" w:rsidR="00384F52" w:rsidRPr="005E0856" w:rsidRDefault="00384F52" w:rsidP="00384F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</w:tc>
      </w:tr>
      <w:tr w:rsidR="008E1743" w:rsidRPr="005E0856" w14:paraId="793131D4" w14:textId="71256498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44277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4.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6C937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Conflicte de interese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0C619" w14:textId="77777777" w:rsidR="008E1743" w:rsidRPr="005E0856" w:rsidRDefault="008E1743" w:rsidP="003075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Ordonanța de Urgență a Guvernului nr. 57/2019 privind Codul administrativ, cu modificările și completările ulterioare</w:t>
            </w:r>
          </w:p>
          <w:p w14:paraId="2F4F091A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176/2010 privind integritatea în exercitarea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demnităţilor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publice, pentru modificarea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completarea Legii nr. 144/2007 privind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înfiinţarea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organizarea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funcţionarea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Agenţiei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Naţionale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Integritate, precum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pentru modificarea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completarea altor acte normative</w:t>
            </w:r>
          </w:p>
          <w:p w14:paraId="061CFFF1" w14:textId="70BBF7C2" w:rsidR="008E1743" w:rsidRPr="005E0856" w:rsidRDefault="008E1743" w:rsidP="008C4FB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161/2003 privind unele măsuri pentru asigurarea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transparenţei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exercitarea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demnităţilor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publice, 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mediul de afaceri, prevenirea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sancţionarea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cu modificările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completările ulterioare</w:t>
            </w:r>
          </w:p>
          <w:p w14:paraId="21937DB2" w14:textId="77777777" w:rsidR="008E1743" w:rsidRPr="005E0856" w:rsidRDefault="008E1743" w:rsidP="008C4FB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184/2016 privind instituirea unui mecanism de prevenire a conflictului de </w:t>
            </w: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interese în procedura de atribuire a contractelor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achiziţie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publică </w:t>
            </w:r>
          </w:p>
          <w:p w14:paraId="3249D188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Codul penal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7262E" w14:textId="5E4E722B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Număr de persoane care au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obligaţia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depunerii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declaraţiei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interese</w:t>
            </w:r>
          </w:p>
          <w:p w14:paraId="3AB07D7D" w14:textId="7CE0893B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persoane care nu au depus în termen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declaraţia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interese</w:t>
            </w:r>
          </w:p>
          <w:p w14:paraId="6099E174" w14:textId="7B49DCE0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declaraţii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abţinere</w:t>
            </w:r>
            <w:proofErr w:type="spellEnd"/>
          </w:p>
          <w:p w14:paraId="0A6B10A9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situaţii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care superiorul ierarhic a dispus înlocuirea persoanei aflată în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situaţia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potenţial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conflict de interese</w:t>
            </w:r>
          </w:p>
          <w:p w14:paraId="486ADDFD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sesizări primite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la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terţe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persoane cu privire la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existenţa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unui conflict de interese</w:t>
            </w:r>
          </w:p>
          <w:p w14:paraId="46D30E66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decizii ANI prin care s-a constatat starea de conflict de interese</w:t>
            </w:r>
          </w:p>
          <w:p w14:paraId="29DC3094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F406937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Gradul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cunoaştere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către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angajaţi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 normelor privind conflictul de interese </w:t>
            </w:r>
          </w:p>
          <w:p w14:paraId="65115FCF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669579B7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persoane care au fost instruite prin intermediul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acţiunilor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formare profesională</w:t>
            </w:r>
          </w:p>
          <w:p w14:paraId="0F6B4271" w14:textId="77777777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Nr. de proceduri de achiziție analizate în PREVENT</w:t>
            </w:r>
          </w:p>
          <w:p w14:paraId="20E09E2D" w14:textId="20A1A5E3" w:rsidR="008E1743" w:rsidRPr="005E0856" w:rsidRDefault="008E1743" w:rsidP="007A181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umăr </w:t>
            </w: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 avertismente de integritate emise</w:t>
            </w:r>
          </w:p>
          <w:p w14:paraId="6420F5DE" w14:textId="5BB7C06F" w:rsidR="008E1743" w:rsidRPr="009F6237" w:rsidRDefault="008E1743" w:rsidP="007A1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umăr </w:t>
            </w: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conflicte de interese prevenite prin utilizarea sistemului PREVENT</w:t>
            </w:r>
            <w:r w:rsidRPr="009F623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16E8B9EB" w14:textId="4828CEFF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8BC665" w14:textId="5F7FF48B" w:rsidR="008E1743" w:rsidRDefault="00021FC6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162</w:t>
            </w:r>
          </w:p>
          <w:p w14:paraId="1F5E180E" w14:textId="77777777" w:rsidR="00384F52" w:rsidRDefault="00384F52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C639AF4" w14:textId="73647B43" w:rsidR="00384F52" w:rsidRDefault="008C034A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78B639E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5A7936D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698C025F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7D88D9D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6D6B9CD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70C7B44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19526CF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897FF1E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0D175CB4" w14:textId="77777777" w:rsidR="00F062E7" w:rsidRDefault="00F062E7" w:rsidP="0042710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05A61910" w14:textId="77777777" w:rsidR="00F062E7" w:rsidRDefault="00F062E7" w:rsidP="00427104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100%</w:t>
            </w:r>
          </w:p>
          <w:p w14:paraId="64569C7C" w14:textId="77777777" w:rsidR="00F062E7" w:rsidRDefault="00F062E7" w:rsidP="00427104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1CCA4C6" w14:textId="4276D603" w:rsidR="00F062E7" w:rsidRDefault="00021FC6" w:rsidP="00427104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162</w:t>
            </w:r>
          </w:p>
          <w:p w14:paraId="24E9D591" w14:textId="77777777" w:rsidR="00F062E7" w:rsidRDefault="00F062E7" w:rsidP="00427104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1A9B2FF" w14:textId="77777777" w:rsidR="00F062E7" w:rsidRDefault="00F062E7" w:rsidP="00427104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1E17733" w14:textId="77777777" w:rsidR="00F062E7" w:rsidRDefault="00F062E7" w:rsidP="00427104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291161A" w14:textId="79FF308F" w:rsidR="00F062E7" w:rsidRPr="005E0856" w:rsidRDefault="00F062E7" w:rsidP="00427104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</w:tc>
      </w:tr>
      <w:tr w:rsidR="008E1743" w:rsidRPr="005E0856" w14:paraId="6855B818" w14:textId="5309B916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17A77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5.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D4092A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Consilier de etică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C680D" w14:textId="77777777" w:rsidR="008E1743" w:rsidRPr="005E0856" w:rsidRDefault="008E1743" w:rsidP="003075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Ordonanța de Urgență a Guvernului nr. 57/2019 privind Codul administrativ, cu modificările și completările ulterioare</w:t>
            </w:r>
          </w:p>
          <w:p w14:paraId="28393A12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590BE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şedinţe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consultare</w:t>
            </w:r>
          </w:p>
          <w:p w14:paraId="176B3BF0" w14:textId="736EE5B4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angajaţi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care au solicitat consiliere</w:t>
            </w:r>
          </w:p>
          <w:p w14:paraId="76C93FD5" w14:textId="2D500F7C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cunoaştere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către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angajaţi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 normelor privind consilierul etic </w:t>
            </w:r>
          </w:p>
          <w:p w14:paraId="21A2B39C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persoane care au fost instruite prin intermediul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acţiunilor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formare profesională</w:t>
            </w:r>
          </w:p>
          <w:p w14:paraId="79D12A6E" w14:textId="75B61800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9D3648" w14:textId="77777777" w:rsidR="008E1743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5208464F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6868E0C0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00B1F774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100%</w:t>
            </w:r>
          </w:p>
          <w:p w14:paraId="2223E7A5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70E726F" w14:textId="7B85560E" w:rsidR="00F062E7" w:rsidRPr="005E0856" w:rsidRDefault="00021FC6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</w:tc>
      </w:tr>
      <w:tr w:rsidR="008E1743" w:rsidRPr="005E0856" w14:paraId="7377D8DB" w14:textId="4048E650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44D8E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6.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01C72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Incompatibilităţi</w:t>
            </w:r>
            <w:proofErr w:type="spellEnd"/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092B0" w14:textId="77777777" w:rsidR="008E1743" w:rsidRPr="005E0856" w:rsidRDefault="008E1743" w:rsidP="003075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Ordonanța de Urgență a Guvernului nr. 57/2019 privind Codul administrativ, cu modificările și completările ulterioare</w:t>
            </w:r>
          </w:p>
          <w:p w14:paraId="05CBF082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176/2010 privind integritatea în exercitarea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demnităţilor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publice, pentru modificarea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completarea Legii nr. 144/2007 privind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înfiinţarea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organizarea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funcţionarea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Agenţiei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Naţionale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Integritate, precum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pentru modificarea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completarea altor acte normative</w:t>
            </w:r>
          </w:p>
          <w:p w14:paraId="7BD65D33" w14:textId="761CC62F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161/2003 privind unele măsuri pentru asigurarea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transparenţei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exercitarea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demnităţilor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publice, 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mediul de afaceri, prevenirea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sancţionarea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cu modificările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completările ulterioare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273A6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persoane aflate în stare de incompatibilitate</w:t>
            </w:r>
          </w:p>
          <w:p w14:paraId="63DB8689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sesizări ale ANI formulate de către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instituţie</w:t>
            </w:r>
            <w:proofErr w:type="spellEnd"/>
          </w:p>
          <w:p w14:paraId="77C530CC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sesizări primite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la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terţe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persoane cu privire la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existenţa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unei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incompatibilităţi</w:t>
            </w:r>
            <w:proofErr w:type="spellEnd"/>
          </w:p>
          <w:p w14:paraId="62EE0C0D" w14:textId="7C7F800C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decizii ale ANI cu privire la constatarea unor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incompatibilităţi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indiferent de calea de sesizare</w:t>
            </w:r>
          </w:p>
          <w:p w14:paraId="03DE1359" w14:textId="0B0B763D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decizii confirmate de instanță</w:t>
            </w:r>
          </w:p>
          <w:p w14:paraId="7A8C102E" w14:textId="0063A4B9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cunoaştere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către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angajaţi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 normelor privind incompatibilitățile </w:t>
            </w:r>
          </w:p>
          <w:p w14:paraId="6A55AA6C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persoane care au fost instruite prin intermediul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acţiunilor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formare profesională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16615" w14:textId="77777777" w:rsidR="008E1743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59FB03AC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04B73997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BC52793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9A12074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933F9C6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9FA9B91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57D8238A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6759AF93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121870F0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F978D6A" w14:textId="77777777" w:rsidR="00F062E7" w:rsidRDefault="00F062E7" w:rsidP="00604B02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100%</w:t>
            </w:r>
          </w:p>
          <w:p w14:paraId="47B86AAC" w14:textId="42AC6CBD" w:rsidR="00F062E7" w:rsidRPr="005E0856" w:rsidRDefault="00021FC6" w:rsidP="00604B02">
            <w:pPr>
              <w:spacing w:after="150" w:line="36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</w:tc>
      </w:tr>
      <w:tr w:rsidR="008E1743" w:rsidRPr="005E0856" w14:paraId="3BD032A1" w14:textId="08E119A3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751C7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7.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921D4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Transparenţă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procesul decizional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37005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52/2003 privind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transparenţa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decizională în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administraţia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publică, cu modificările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completările ulterioare</w:t>
            </w:r>
          </w:p>
          <w:p w14:paraId="01584D39" w14:textId="77777777" w:rsidR="008E1743" w:rsidRPr="005E0856" w:rsidRDefault="008E1743" w:rsidP="003075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Ordonanța de Urgență a Guvernului nr. 57/2019 privind Codul administrativ, cu modificările și completările ulterioare</w:t>
            </w:r>
          </w:p>
          <w:p w14:paraId="2667A0C9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6D416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Număr de proiecte de acte normative adoptate</w:t>
            </w:r>
          </w:p>
          <w:p w14:paraId="1B733DFD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anunţuri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privind proiectele de acte normative</w:t>
            </w:r>
          </w:p>
          <w:p w14:paraId="2F1DDF43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recomandări transmise de societatea civilă în procesul de transparență decizională asigurat </w:t>
            </w: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pentru inițierea, modificarea sau completarea unor acte normative</w:t>
            </w:r>
          </w:p>
          <w:p w14:paraId="280AEAB4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acceptare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preluare al recomandărilor formulate de societatea civilă cu privire la proiectele de acte normative supuse consultării publice (ca procent între numărul total de recomandări transmise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numărul de propuneri efectiv preluate)</w:t>
            </w:r>
          </w:p>
          <w:p w14:paraId="45DABB4E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Număr de proiecte de acte normative modificate în urma procesului de consultare</w:t>
            </w:r>
          </w:p>
          <w:p w14:paraId="735076D9" w14:textId="64E5A026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şedinţe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organizate la inițiativa instituției</w:t>
            </w:r>
          </w:p>
          <w:p w14:paraId="583DBB74" w14:textId="29ED4870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Număr dezbateri publice organizate</w:t>
            </w:r>
          </w:p>
          <w:p w14:paraId="70EC6907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participanţi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la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şedinţele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</w:t>
            </w:r>
          </w:p>
          <w:p w14:paraId="388617AC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Număr de ședințe publice organizate la solicitarea societății civile</w:t>
            </w:r>
          </w:p>
          <w:p w14:paraId="0B46EB24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Număr de minute publicate, realizate la ședințele publice</w:t>
            </w:r>
          </w:p>
          <w:p w14:paraId="3AB78CC2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plângeri în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justiţie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privind nerespectarea prevederilor legale de către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instituţie</w:t>
            </w:r>
            <w:proofErr w:type="spellEnd"/>
          </w:p>
          <w:p w14:paraId="2E9FCFA9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persoane care au fost instruite prin intermediul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acţiunilor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de formare profesională</w:t>
            </w:r>
          </w:p>
          <w:p w14:paraId="43EE506C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Număr de rapoarte anuale privind transparența decizională disponibile pe site-ul instituției;</w:t>
            </w:r>
          </w:p>
          <w:p w14:paraId="28902AC2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demnitari înscriși în Registrul Unic al Transparenței Intereselor </w:t>
            </w:r>
          </w:p>
          <w:p w14:paraId="3DC5210E" w14:textId="77777777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Număr de întâlniri raportate în RUTI de către factorii de decizie vizați de registru</w:t>
            </w:r>
          </w:p>
          <w:p w14:paraId="10161FD7" w14:textId="6125872E" w:rsidR="008E1743" w:rsidRPr="005257D0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cunoaştere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de către </w:t>
            </w:r>
            <w:proofErr w:type="spellStart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>angajaţi</w:t>
            </w:r>
            <w:proofErr w:type="spellEnd"/>
            <w:r w:rsidRPr="005257D0">
              <w:rPr>
                <w:rFonts w:ascii="Helvetica" w:eastAsia="Times New Roman" w:hAnsi="Helvetica" w:cs="Helvetica"/>
                <w:sz w:val="21"/>
                <w:szCs w:val="21"/>
              </w:rPr>
              <w:t xml:space="preserve"> a normelor privind transparența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8BCEA5" w14:textId="04958E5B" w:rsidR="008E1743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Nu </w:t>
            </w:r>
            <w:r w:rsidR="00635BEA">
              <w:rPr>
                <w:rFonts w:ascii="Helvetica" w:eastAsia="Times New Roman" w:hAnsi="Helvetica" w:cs="Helvetica"/>
                <w:sz w:val="21"/>
                <w:szCs w:val="21"/>
              </w:rPr>
              <w:t>a fost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 cazul</w:t>
            </w:r>
          </w:p>
          <w:p w14:paraId="7AD78A1E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4688C2D" w14:textId="4B5E4706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4539A2E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05DC4DA9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0AC297C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0</w:t>
            </w:r>
          </w:p>
          <w:p w14:paraId="729F3F59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A4D42F7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047EAA8A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A4CB89B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24BD5B9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05B6535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80F54E5" w14:textId="77777777" w:rsidR="00F062E7" w:rsidRDefault="00F062E7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171C4964" w14:textId="274A4E23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Nu </w:t>
            </w:r>
            <w:r w:rsidR="00635BEA">
              <w:rPr>
                <w:rFonts w:ascii="Helvetica" w:eastAsia="Times New Roman" w:hAnsi="Helvetica" w:cs="Helvetica"/>
                <w:sz w:val="21"/>
                <w:szCs w:val="21"/>
              </w:rPr>
              <w:t xml:space="preserve">a fost 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 cazul</w:t>
            </w:r>
          </w:p>
          <w:p w14:paraId="7378F92A" w14:textId="53E761A2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0A552516" w14:textId="0D72780D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84406FD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19E7EA8E" w14:textId="7B745460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3D92F27" w14:textId="7E7C79B3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DA7747D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233AD93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0A2039CE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3B313FD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EEAEF2E" w14:textId="18275802" w:rsidR="00604B02" w:rsidRDefault="007620D6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1895E978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BC29C82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</w:t>
            </w:r>
          </w:p>
          <w:p w14:paraId="1BDB4396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7808241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-</w:t>
            </w:r>
          </w:p>
          <w:p w14:paraId="3B6705CD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D8358E0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C60E42E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-</w:t>
            </w:r>
          </w:p>
          <w:p w14:paraId="0CC652F1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EA12AD4" w14:textId="38E14D56" w:rsidR="00604B02" w:rsidRPr="005257D0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100%</w:t>
            </w:r>
          </w:p>
        </w:tc>
      </w:tr>
      <w:tr w:rsidR="008E1743" w:rsidRPr="005E0856" w14:paraId="693B6D60" w14:textId="47F4CBBA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314D1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8.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276F5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Acces la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informaţii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interes public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A7776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544/2001 privind liberul acces la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informaţiile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interes public, cu modificările ulterioare</w:t>
            </w:r>
          </w:p>
          <w:p w14:paraId="33972ABF" w14:textId="77777777" w:rsidR="008E1743" w:rsidRPr="005E0856" w:rsidRDefault="008E1743" w:rsidP="003075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Ordonanța de Urgență a Guvernului nr. 57/2019 privind Codul administrativ, cu modificările și completările ulterioare</w:t>
            </w:r>
          </w:p>
          <w:p w14:paraId="632A5DA2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DAB5A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seturi de date publicate în format deschis pe platforma data.gov.ro</w:t>
            </w:r>
          </w:p>
          <w:p w14:paraId="36B37815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solicitări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informaţii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interes public primite</w:t>
            </w:r>
          </w:p>
          <w:p w14:paraId="1E12960C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răspunsuri comunicate în termenul legal</w:t>
            </w:r>
          </w:p>
          <w:p w14:paraId="4A130AB9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reclamaţii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administrative</w:t>
            </w:r>
          </w:p>
          <w:p w14:paraId="578F362B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Număr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reclamaţii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administrative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soluţionate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favorabil</w:t>
            </w:r>
          </w:p>
          <w:p w14:paraId="2C1DFD18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plângeri în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instanţă</w:t>
            </w:r>
            <w:proofErr w:type="spellEnd"/>
          </w:p>
          <w:p w14:paraId="158343A9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hotărâri judecătorești definitive pronunțate în favoarea petentului, ca urmare a plângerilor având ca obiect comunicarea de informații de interes public</w:t>
            </w:r>
          </w:p>
          <w:p w14:paraId="67C757E0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Numărul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sancţiuni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dispuse pentru încălcarea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obligaţiilor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legale</w:t>
            </w:r>
          </w:p>
          <w:p w14:paraId="65831007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persoane care au fost instruite prin intermediul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acţiunilor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formare profesională</w:t>
            </w:r>
          </w:p>
          <w:p w14:paraId="726A0B2B" w14:textId="256CFCA8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Gradul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cunoaştere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către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angajaţi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 normelor privind accesul la informații de interes public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E20589" w14:textId="77777777" w:rsidR="008E1743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0</w:t>
            </w:r>
          </w:p>
          <w:p w14:paraId="73730323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E8C6163" w14:textId="7260F334" w:rsidR="00604B02" w:rsidRPr="00505AC4" w:rsidRDefault="00505AC4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36</w:t>
            </w:r>
          </w:p>
          <w:p w14:paraId="2C6BAAA4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55F0F2E" w14:textId="355ECAFF" w:rsidR="00604B02" w:rsidRPr="00505AC4" w:rsidRDefault="00505AC4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36</w:t>
            </w:r>
          </w:p>
          <w:p w14:paraId="2B6CBE48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7E797B7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0</w:t>
            </w:r>
          </w:p>
          <w:p w14:paraId="691EF31A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49E32A1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B446215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6A4B65F" w14:textId="38680384" w:rsidR="00604B02" w:rsidRPr="00505AC4" w:rsidRDefault="007620D6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2DDE9C6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0094732" w14:textId="77777777" w:rsidR="007620D6" w:rsidRPr="00505AC4" w:rsidRDefault="007620D6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01BFC63" w14:textId="095BC10A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26A28D1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4729D12" w14:textId="6B71E5DE" w:rsidR="00604B02" w:rsidRPr="00505AC4" w:rsidRDefault="007620D6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1C50A10" w14:textId="77777777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53867B4" w14:textId="12EBEF28" w:rsidR="00604B02" w:rsidRPr="00505AC4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05AC4">
              <w:rPr>
                <w:rFonts w:ascii="Helvetica" w:eastAsia="Times New Roman" w:hAnsi="Helvetica" w:cs="Helvetica"/>
                <w:sz w:val="21"/>
                <w:szCs w:val="21"/>
              </w:rPr>
              <w:t>100%</w:t>
            </w:r>
          </w:p>
        </w:tc>
      </w:tr>
      <w:tr w:rsidR="008E1743" w:rsidRPr="005E0856" w14:paraId="19F6B4EC" w14:textId="2FEF22A8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DFE65A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9.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4C271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Protecţia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avertizorului de integritate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85ED31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privind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protecţia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avertizorilor în interes public (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Legislaţia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transpunere a Directivei 1937)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E1493" w14:textId="77777777" w:rsidR="008E1743" w:rsidRPr="005E0856" w:rsidRDefault="008E1743" w:rsidP="009678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raportări </w:t>
            </w:r>
          </w:p>
          <w:p w14:paraId="7358029F" w14:textId="77777777" w:rsidR="008E1743" w:rsidRPr="005E0856" w:rsidRDefault="008E1743" w:rsidP="009678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Numărul de investigații și proceduri inițiate ca urmare a acestor raportări și rezultatul acestora</w:t>
            </w:r>
          </w:p>
          <w:p w14:paraId="126988F2" w14:textId="350E313B" w:rsidR="008E1743" w:rsidRPr="005E0856" w:rsidRDefault="008E1743" w:rsidP="009678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situații de represalii la locul de munc</w:t>
            </w:r>
            <w:r>
              <w:rPr>
                <w:rFonts w:ascii="Helvetica" w:eastAsia="Times New Roman" w:hAnsi="Helvetica" w:cs="Helvetica"/>
                <w:sz w:val="21"/>
                <w:szCs w:val="21"/>
              </w:rPr>
              <w:t>ă</w:t>
            </w:r>
          </w:p>
          <w:p w14:paraId="75B77710" w14:textId="77777777" w:rsidR="008E1743" w:rsidRPr="005E0856" w:rsidRDefault="008E1743" w:rsidP="009678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plângeri depuse in instanță</w:t>
            </w:r>
          </w:p>
          <w:p w14:paraId="1A5FA823" w14:textId="77777777" w:rsidR="008E1743" w:rsidRPr="005E0856" w:rsidRDefault="008E1743" w:rsidP="0096788E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Prejudiciul financiar estimat și sumele recuperate în urma investigațiilor și a procedurilor referitoare la încălcările raportate (în cazul în care sunt confirmate)</w:t>
            </w:r>
          </w:p>
          <w:p w14:paraId="31F4DE08" w14:textId="46ECF85E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 de persoane care au fost instruite prin intermediul acțiunilor de formare profesională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0F2644" w14:textId="77777777" w:rsidR="008E1743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6AC03CC7" w14:textId="28B7DB5A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5197738A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F222399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13DEB6A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7BAAA23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535F950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C25B81B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5FE9D660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DED493A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04115EB4" w14:textId="331F02A6" w:rsidR="00604B02" w:rsidRPr="005E0856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</w:tc>
      </w:tr>
      <w:tr w:rsidR="008E1743" w:rsidRPr="005E0856" w14:paraId="69B66C67" w14:textId="296AC070" w:rsidTr="004D0B25">
        <w:trPr>
          <w:trHeight w:val="3855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0DB45" w14:textId="028F0340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10.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360C" w14:textId="6650AD98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Interdicţii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după încheierea angajării în cadrul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(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Pantouflage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)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670A1" w14:textId="7566B50F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Legea nr. 161/2003 privind unele măsuri pentru asigurarea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transparenţei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exercitarea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demnităţilor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publice, 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mediul de afaceri, prevenirea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sancţionarea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cu modificările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completările ulterioare [art. 94 alin. (3)]</w:t>
            </w:r>
          </w:p>
          <w:p w14:paraId="44CBBD82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Ordonanţa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urgenţă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 Guvernului nr. 66/2011 privind prevenirea, constatarea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sancţionarea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neregulilor apărute în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obţinerea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utilizarea fondurilor europene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/sau a fondurilor publice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naţionale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aferente acestora [art. 13 alin. (1)]</w:t>
            </w:r>
          </w:p>
          <w:p w14:paraId="57320927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Legea nr. 98/2016 privind achizițiile publice [Secțiunea a 4-a Reguli de evitare a conflictului de interese, art. 61]</w:t>
            </w:r>
          </w:p>
          <w:p w14:paraId="359610B5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Legea nr. 99/2016 privind achizițiile sectoriale [Secțiunea a 4-a Reguli de evitare a conflictului de interese, la art. 74]</w:t>
            </w:r>
          </w:p>
          <w:p w14:paraId="1F005F58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Legea nr. 672/2002 privind auditul public intern [art. 22 alin. (5)]</w:t>
            </w:r>
          </w:p>
          <w:p w14:paraId="37EB1141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Legea nr.</w:t>
            </w:r>
            <w:r w:rsidRPr="005E0856">
              <w:t xml:space="preserve"> </w:t>
            </w: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100/2016 privind concesiunile de lucrări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concesiunile de servicii  [art. 45]</w:t>
            </w:r>
          </w:p>
          <w:p w14:paraId="590BCD0A" w14:textId="7B470E50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O.U.G. nr. 87/2020 privind organizarea și funcționarea Corpului de control al prim-ministrului, precum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pentru instituirea unor măsuri de îmbunătățire a activității acestuia [art. 7 alin (3)].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FA7F7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Număr de încălcări ale regimului legal </w:t>
            </w:r>
          </w:p>
          <w:p w14:paraId="6F3B57F0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solicitări către instanța de judecată pentru anularea contractului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finanţare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caz de încălcare a art. 13 alin. (1)</w:t>
            </w:r>
          </w:p>
          <w:p w14:paraId="52A98EA5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sancţiuni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aplicate de către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instanţe</w:t>
            </w:r>
            <w:proofErr w:type="spellEnd"/>
          </w:p>
          <w:p w14:paraId="6CD2AFFD" w14:textId="1DF39900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7E1F43" w14:textId="77777777" w:rsidR="008E1743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D7D0AA9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30C67BBF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7527DD1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4C8381A6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7F654022" w14:textId="72B19DFA" w:rsidR="00021FC6" w:rsidRPr="005E0856" w:rsidRDefault="00021FC6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</w:tr>
      <w:tr w:rsidR="008E1743" w:rsidRPr="005E0856" w14:paraId="4AD15A84" w14:textId="6A5A4213" w:rsidTr="008E1743">
        <w:trPr>
          <w:trHeight w:val="1765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9900D" w14:textId="14707D40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11.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7F406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Funcțiile sensibile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977F4" w14:textId="77777777" w:rsidR="008E1743" w:rsidRPr="005E0856" w:rsidRDefault="008E1743" w:rsidP="00D34462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Ordinul Secretariatului General al Guvernului nr. 600/2018 privind aprobarea Codului controlului intern managerial al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entităţilor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 </w:t>
            </w:r>
          </w:p>
          <w:p w14:paraId="7EAB8329" w14:textId="77777777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DE57A" w14:textId="77777777" w:rsidR="008E1743" w:rsidRPr="005E0856" w:rsidRDefault="008E1743" w:rsidP="005601F3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sensibile identificate și inventariate</w:t>
            </w:r>
          </w:p>
          <w:p w14:paraId="5D70C8B9" w14:textId="6005A811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 măsuri de control adecvate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suficiente pentru administrarea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gestionarea funcțiilor sensibile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A91428" w14:textId="339702DA" w:rsidR="008E1743" w:rsidRDefault="004D0B25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92</w:t>
            </w:r>
          </w:p>
          <w:p w14:paraId="2E5835EF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3A5B822" w14:textId="561804C8" w:rsidR="00604B02" w:rsidRPr="005E0856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81348C">
              <w:rPr>
                <w:rFonts w:ascii="Helvetica" w:eastAsia="Times New Roman" w:hAnsi="Helvetica" w:cs="Helvetica"/>
                <w:sz w:val="21"/>
                <w:szCs w:val="21"/>
              </w:rPr>
              <w:t>277</w:t>
            </w:r>
          </w:p>
        </w:tc>
      </w:tr>
      <w:tr w:rsidR="008E1743" w:rsidRPr="005E0856" w14:paraId="3DC58DFD" w14:textId="2795B30A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2CD4B" w14:textId="1D209503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12.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0A6D18" w14:textId="5238EE56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Evaluarea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cadrul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autorităţilor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centrale și locale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76C135" w14:textId="540D8325" w:rsidR="008E1743" w:rsidRPr="005E0856" w:rsidRDefault="008E1743" w:rsidP="00A91889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Hotărârea nr. 599/2018 pentru aprobarea Metodologiei standard de evaluare a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cadrul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autorităţilor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centrale, împreună cu indicatorii de estimare 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probabilităţii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materializare a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cu indicatorii de estimare a impactului în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situaţia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materializării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formatul registrului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precum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pentru aprobarea Metodologiei de evaluare a incidentelor de integritate în cadrul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autorităţilor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centrale, împreună cu formatul raportului anual de evaluare a incidentelor de integritate 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EED7E" w14:textId="5EAFCF31" w:rsidR="008E1743" w:rsidRPr="005E0856" w:rsidRDefault="008E1743" w:rsidP="00E871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Numărul de riscuri identificate</w:t>
            </w:r>
          </w:p>
          <w:p w14:paraId="7549A914" w14:textId="19AC6B76" w:rsidR="008E1743" w:rsidRPr="005E0856" w:rsidRDefault="008E1743" w:rsidP="00E871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25E847D9" w14:textId="42F174C0" w:rsidR="008E1743" w:rsidRPr="005E0856" w:rsidRDefault="008E1743" w:rsidP="00E871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Numărul de masuri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intervenţie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 </w:t>
            </w:r>
          </w:p>
          <w:p w14:paraId="1383AE61" w14:textId="00F0AD06" w:rsidR="008E1743" w:rsidRPr="005E0856" w:rsidRDefault="008E1743" w:rsidP="00E871F4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.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10F06" w14:textId="77777777" w:rsidR="008E1743" w:rsidRDefault="00604B02" w:rsidP="00604B02">
            <w:pPr>
              <w:spacing w:after="150" w:line="240" w:lineRule="auto"/>
              <w:jc w:val="center"/>
              <w:rPr>
                <w:rFonts w:cs="Arial"/>
                <w:lang w:eastAsia="ja-JP"/>
              </w:rPr>
            </w:pPr>
            <w:r w:rsidRPr="004C0C03">
              <w:rPr>
                <w:rFonts w:cs="Arial"/>
                <w:lang w:eastAsia="ja-JP"/>
              </w:rPr>
              <w:t>59</w:t>
            </w:r>
          </w:p>
          <w:p w14:paraId="33C7A040" w14:textId="77777777" w:rsidR="00604B02" w:rsidRDefault="00604B02" w:rsidP="00604B02">
            <w:pPr>
              <w:spacing w:after="150" w:line="240" w:lineRule="auto"/>
              <w:jc w:val="center"/>
              <w:rPr>
                <w:rFonts w:cs="Arial"/>
                <w:lang w:eastAsia="ja-JP"/>
              </w:rPr>
            </w:pPr>
          </w:p>
          <w:p w14:paraId="3502536F" w14:textId="230FA25D" w:rsidR="00604B02" w:rsidRPr="005E0856" w:rsidRDefault="00494971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cs="Arial"/>
                <w:lang w:eastAsia="ja-JP"/>
              </w:rPr>
              <w:t>9</w:t>
            </w:r>
            <w:r w:rsidR="00091BEE">
              <w:rPr>
                <w:rFonts w:cs="Arial"/>
                <w:lang w:eastAsia="ja-JP"/>
              </w:rPr>
              <w:t>3</w:t>
            </w:r>
          </w:p>
        </w:tc>
      </w:tr>
      <w:tr w:rsidR="008E1743" w:rsidRPr="005E0856" w14:paraId="25070D77" w14:textId="3547AA22" w:rsidTr="008E1743">
        <w:trPr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E4F913" w14:textId="7BE0E34C" w:rsidR="008E1743" w:rsidRPr="005E0856" w:rsidRDefault="008E1743" w:rsidP="00FE48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13.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3449C3" w14:textId="6B9D4C36" w:rsidR="008E1743" w:rsidRPr="005E0856" w:rsidRDefault="008E1743" w:rsidP="00FE48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Evaluarea  incidentelor de integritate în cadrul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autorităţilor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centrale și locale</w:t>
            </w:r>
          </w:p>
        </w:tc>
        <w:tc>
          <w:tcPr>
            <w:tcW w:w="4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FE7AFC" w14:textId="77777777" w:rsidR="008E1743" w:rsidRPr="005E0856" w:rsidRDefault="008E1743" w:rsidP="00FE487D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Hotărârea nr. 599/2018 pentru aprobarea Metodologiei standard de evaluare a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în cadrul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autorităţilor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centrale, împreună cu indicatorii de estimare a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probabilităţii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materializare a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cu indicatorii de estimare a impactului în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situaţia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materializării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formatul registrului riscurilor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corupţie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, precum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pentru aprobarea Metodologiei de evaluare a incidentelor de integritate în cadrul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autorităţilor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şi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instituţiilor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publice centrale, împreună cu formatul raportului anual de evaluare a incidentelor de integritate  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C0D16A" w14:textId="2C2A6A0A" w:rsidR="008E1743" w:rsidRPr="005E0856" w:rsidRDefault="008E1743" w:rsidP="0003444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Numărul de incidente de integritate </w:t>
            </w:r>
          </w:p>
          <w:p w14:paraId="346ACE96" w14:textId="77777777" w:rsidR="008E1743" w:rsidRPr="005E0856" w:rsidRDefault="008E1743" w:rsidP="0003444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Numărul persoanelor cu funcții de conducere care au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săvârşit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incidente de integritate</w:t>
            </w:r>
          </w:p>
          <w:p w14:paraId="3E52EF81" w14:textId="7A44973C" w:rsidR="008E1743" w:rsidRPr="005E0856" w:rsidRDefault="008E1743" w:rsidP="0003444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Numărul persoanelor cu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funcţii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de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execuţie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care au </w:t>
            </w:r>
            <w:proofErr w:type="spellStart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săvârşit</w:t>
            </w:r>
            <w:proofErr w:type="spellEnd"/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 xml:space="preserve"> incidente de integritate </w:t>
            </w:r>
          </w:p>
          <w:p w14:paraId="4C79EB55" w14:textId="77777777" w:rsidR="008E1743" w:rsidRPr="005E0856" w:rsidRDefault="008E1743" w:rsidP="0003444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5E0856">
              <w:rPr>
                <w:rFonts w:ascii="Helvetica" w:eastAsia="Times New Roman" w:hAnsi="Helvetica" w:cs="Helvetica"/>
                <w:sz w:val="21"/>
                <w:szCs w:val="21"/>
              </w:rPr>
              <w:t>Numărul de măsuri de control implementate</w:t>
            </w:r>
          </w:p>
          <w:p w14:paraId="7C4603A7" w14:textId="5116B092" w:rsidR="008E1743" w:rsidRPr="005E0856" w:rsidRDefault="008E1743" w:rsidP="0003444A">
            <w:pPr>
              <w:spacing w:after="15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44E63F" w14:textId="77777777" w:rsidR="008E1743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2415B9E6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63102F3D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3F102727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  <w:p w14:paraId="42F984AA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72E6716C" w14:textId="77777777" w:rsidR="00604B02" w:rsidRDefault="00604B02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</w:p>
          <w:p w14:paraId="1956A7E8" w14:textId="0C088BA0" w:rsidR="00604B02" w:rsidRPr="005E0856" w:rsidRDefault="00427104" w:rsidP="00604B0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0</w:t>
            </w:r>
          </w:p>
        </w:tc>
      </w:tr>
    </w:tbl>
    <w:p w14:paraId="1A9C4202" w14:textId="77777777" w:rsidR="00122BF3" w:rsidRDefault="00122BF3"/>
    <w:p w14:paraId="79982920" w14:textId="77777777" w:rsidR="00427104" w:rsidRDefault="00427104" w:rsidP="000152F5">
      <w:pPr>
        <w:pStyle w:val="Frspaiere"/>
        <w:jc w:val="center"/>
        <w:rPr>
          <w:b/>
          <w:bCs/>
        </w:rPr>
      </w:pPr>
    </w:p>
    <w:p w14:paraId="7C4E7211" w14:textId="77777777" w:rsidR="00427104" w:rsidRDefault="00427104" w:rsidP="000152F5">
      <w:pPr>
        <w:pStyle w:val="Frspaiere"/>
        <w:jc w:val="center"/>
        <w:rPr>
          <w:b/>
          <w:bCs/>
        </w:rPr>
      </w:pPr>
    </w:p>
    <w:p w14:paraId="142BA05D" w14:textId="5D6EBCD0" w:rsidR="000152F5" w:rsidRPr="000152F5" w:rsidRDefault="000152F5" w:rsidP="000152F5">
      <w:pPr>
        <w:pStyle w:val="Frspaiere"/>
        <w:jc w:val="center"/>
        <w:rPr>
          <w:b/>
          <w:bCs/>
        </w:rPr>
      </w:pPr>
      <w:r w:rsidRPr="000152F5">
        <w:rPr>
          <w:b/>
          <w:bCs/>
        </w:rPr>
        <w:t>DIRECTOR GENERAL,</w:t>
      </w:r>
    </w:p>
    <w:p w14:paraId="68B3B8EB" w14:textId="77777777" w:rsidR="000152F5" w:rsidRPr="000152F5" w:rsidRDefault="000152F5" w:rsidP="000152F5">
      <w:pPr>
        <w:pStyle w:val="Frspaiere"/>
        <w:jc w:val="center"/>
        <w:rPr>
          <w:b/>
          <w:bCs/>
        </w:rPr>
      </w:pPr>
      <w:r w:rsidRPr="000152F5">
        <w:rPr>
          <w:b/>
          <w:bCs/>
        </w:rPr>
        <w:t>RĂDIȚA PIROȘCA</w:t>
      </w:r>
    </w:p>
    <w:p w14:paraId="51CA04DC" w14:textId="77777777" w:rsidR="000152F5" w:rsidRDefault="000152F5" w:rsidP="000152F5">
      <w:pPr>
        <w:jc w:val="center"/>
        <w:rPr>
          <w:b/>
        </w:rPr>
      </w:pPr>
    </w:p>
    <w:p w14:paraId="4E293E91" w14:textId="77777777" w:rsidR="000152F5" w:rsidRPr="006F0753" w:rsidRDefault="000152F5" w:rsidP="000152F5">
      <w:pPr>
        <w:pStyle w:val="Frspaiere"/>
        <w:jc w:val="center"/>
        <w:rPr>
          <w:b/>
          <w:bCs/>
        </w:rPr>
      </w:pPr>
      <w:r w:rsidRPr="006F0753">
        <w:rPr>
          <w:b/>
          <w:bCs/>
        </w:rPr>
        <w:t>COORDONATOR PLAN DE INTEGRITATE,</w:t>
      </w:r>
    </w:p>
    <w:p w14:paraId="1F5227EE" w14:textId="68A66B56" w:rsidR="000152F5" w:rsidRPr="006F0753" w:rsidRDefault="009F6237" w:rsidP="000152F5">
      <w:pPr>
        <w:pStyle w:val="Frspaiere"/>
        <w:jc w:val="center"/>
        <w:rPr>
          <w:b/>
          <w:bCs/>
        </w:rPr>
      </w:pPr>
      <w:r>
        <w:rPr>
          <w:b/>
          <w:bCs/>
        </w:rPr>
        <w:t>ROBERT MUNTEANU</w:t>
      </w:r>
    </w:p>
    <w:p w14:paraId="78910BC8" w14:textId="77777777" w:rsidR="00672D5C" w:rsidRDefault="00672D5C" w:rsidP="000152F5">
      <w:pPr>
        <w:pStyle w:val="Frspaiere"/>
        <w:jc w:val="right"/>
        <w:rPr>
          <w:rStyle w:val="Accentuat"/>
        </w:rPr>
      </w:pPr>
    </w:p>
    <w:p w14:paraId="2DD2947A" w14:textId="625F2EBE" w:rsidR="000152F5" w:rsidRPr="002128AA" w:rsidRDefault="000152F5" w:rsidP="000152F5">
      <w:pPr>
        <w:pStyle w:val="Frspaiere"/>
        <w:jc w:val="right"/>
        <w:rPr>
          <w:rStyle w:val="Accentuat"/>
          <w:i w:val="0"/>
          <w:iCs w:val="0"/>
        </w:rPr>
      </w:pPr>
      <w:r w:rsidRPr="000034B3">
        <w:rPr>
          <w:rStyle w:val="Accentuat"/>
        </w:rPr>
        <w:t>Întocmit,</w:t>
      </w:r>
    </w:p>
    <w:p w14:paraId="0296DCF2" w14:textId="77777777" w:rsidR="000152F5" w:rsidRPr="000034B3" w:rsidRDefault="000152F5" w:rsidP="000152F5">
      <w:pPr>
        <w:pStyle w:val="Frspaiere"/>
        <w:jc w:val="right"/>
        <w:rPr>
          <w:rStyle w:val="Accentuat"/>
          <w:i w:val="0"/>
        </w:rPr>
      </w:pPr>
      <w:r w:rsidRPr="000034B3">
        <w:rPr>
          <w:rStyle w:val="Accentuat"/>
        </w:rPr>
        <w:t>Consilier</w:t>
      </w:r>
    </w:p>
    <w:p w14:paraId="70A6F479" w14:textId="77777777" w:rsidR="000152F5" w:rsidRPr="000034B3" w:rsidRDefault="000152F5" w:rsidP="000152F5">
      <w:pPr>
        <w:pStyle w:val="Frspaiere"/>
        <w:jc w:val="right"/>
      </w:pPr>
      <w:r w:rsidRPr="000034B3">
        <w:rPr>
          <w:rStyle w:val="Accentuat"/>
        </w:rPr>
        <w:t>Dascălu Petronela</w:t>
      </w:r>
    </w:p>
    <w:p w14:paraId="4FFDA784" w14:textId="77777777" w:rsidR="000152F5" w:rsidRDefault="000152F5" w:rsidP="000152F5">
      <w:pPr>
        <w:pStyle w:val="Listparagraf"/>
        <w:ind w:left="1134"/>
        <w:jc w:val="center"/>
        <w:rPr>
          <w:rFonts w:cs="Arial"/>
          <w:bCs/>
          <w:lang w:eastAsia="ja-JP"/>
        </w:rPr>
      </w:pPr>
    </w:p>
    <w:p w14:paraId="76CF9247" w14:textId="77777777" w:rsidR="000152F5" w:rsidRPr="005E0856" w:rsidRDefault="000152F5"/>
    <w:sectPr w:rsidR="000152F5" w:rsidRPr="005E0856" w:rsidSect="008E174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545C" w14:textId="77777777" w:rsidR="00ED088A" w:rsidRDefault="00ED088A" w:rsidP="00CC4761">
      <w:pPr>
        <w:spacing w:after="0" w:line="240" w:lineRule="auto"/>
      </w:pPr>
      <w:r>
        <w:separator/>
      </w:r>
    </w:p>
  </w:endnote>
  <w:endnote w:type="continuationSeparator" w:id="0">
    <w:p w14:paraId="0A3BA28C" w14:textId="77777777" w:rsidR="00ED088A" w:rsidRDefault="00ED088A" w:rsidP="00C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660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3B4E0" w14:textId="020FD6D5" w:rsidR="00C91D1F" w:rsidRDefault="00C91D1F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74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AFA259C" w14:textId="77777777" w:rsidR="00C91D1F" w:rsidRDefault="00C91D1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8771" w14:textId="77777777" w:rsidR="00ED088A" w:rsidRDefault="00ED088A" w:rsidP="00CC4761">
      <w:pPr>
        <w:spacing w:after="0" w:line="240" w:lineRule="auto"/>
      </w:pPr>
      <w:r>
        <w:separator/>
      </w:r>
    </w:p>
  </w:footnote>
  <w:footnote w:type="continuationSeparator" w:id="0">
    <w:p w14:paraId="14E51472" w14:textId="77777777" w:rsidR="00ED088A" w:rsidRDefault="00ED088A" w:rsidP="00C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3E07"/>
    <w:multiLevelType w:val="hybridMultilevel"/>
    <w:tmpl w:val="F800BFB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48832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BE"/>
    <w:rsid w:val="000152F5"/>
    <w:rsid w:val="00021FC6"/>
    <w:rsid w:val="0003444A"/>
    <w:rsid w:val="00042A14"/>
    <w:rsid w:val="000513C7"/>
    <w:rsid w:val="00065582"/>
    <w:rsid w:val="00091BEE"/>
    <w:rsid w:val="000C7B51"/>
    <w:rsid w:val="000E71CF"/>
    <w:rsid w:val="000F76DB"/>
    <w:rsid w:val="001213B5"/>
    <w:rsid w:val="00122BF3"/>
    <w:rsid w:val="00176CA5"/>
    <w:rsid w:val="00177B98"/>
    <w:rsid w:val="001928CC"/>
    <w:rsid w:val="001C2185"/>
    <w:rsid w:val="0021030D"/>
    <w:rsid w:val="002255DA"/>
    <w:rsid w:val="00232B44"/>
    <w:rsid w:val="00260CE4"/>
    <w:rsid w:val="00265F3C"/>
    <w:rsid w:val="00296155"/>
    <w:rsid w:val="002E47B1"/>
    <w:rsid w:val="002E7F42"/>
    <w:rsid w:val="0030758E"/>
    <w:rsid w:val="0037550B"/>
    <w:rsid w:val="00384F52"/>
    <w:rsid w:val="003A5B5A"/>
    <w:rsid w:val="003A6EBE"/>
    <w:rsid w:val="003A72AB"/>
    <w:rsid w:val="003B42D0"/>
    <w:rsid w:val="003C1AB6"/>
    <w:rsid w:val="003E60B3"/>
    <w:rsid w:val="00422CDA"/>
    <w:rsid w:val="00427104"/>
    <w:rsid w:val="00444804"/>
    <w:rsid w:val="00494971"/>
    <w:rsid w:val="004A3A67"/>
    <w:rsid w:val="004B6889"/>
    <w:rsid w:val="004B760A"/>
    <w:rsid w:val="004C778F"/>
    <w:rsid w:val="004D0B25"/>
    <w:rsid w:val="00505A14"/>
    <w:rsid w:val="00505AC4"/>
    <w:rsid w:val="005104B9"/>
    <w:rsid w:val="00511F1A"/>
    <w:rsid w:val="005171EE"/>
    <w:rsid w:val="005257D0"/>
    <w:rsid w:val="005434EC"/>
    <w:rsid w:val="005601F3"/>
    <w:rsid w:val="00573288"/>
    <w:rsid w:val="00591987"/>
    <w:rsid w:val="00596248"/>
    <w:rsid w:val="00596E8F"/>
    <w:rsid w:val="005974EB"/>
    <w:rsid w:val="005A133E"/>
    <w:rsid w:val="005E0856"/>
    <w:rsid w:val="00604B02"/>
    <w:rsid w:val="00624485"/>
    <w:rsid w:val="00635BEA"/>
    <w:rsid w:val="00672D5C"/>
    <w:rsid w:val="00692D0A"/>
    <w:rsid w:val="006B5AE2"/>
    <w:rsid w:val="006D5C30"/>
    <w:rsid w:val="006F6BE7"/>
    <w:rsid w:val="00704951"/>
    <w:rsid w:val="00756041"/>
    <w:rsid w:val="00761F1D"/>
    <w:rsid w:val="007620D6"/>
    <w:rsid w:val="007A181D"/>
    <w:rsid w:val="007A3EFA"/>
    <w:rsid w:val="007B187A"/>
    <w:rsid w:val="007D07BC"/>
    <w:rsid w:val="007F0D19"/>
    <w:rsid w:val="00804A17"/>
    <w:rsid w:val="00805BD7"/>
    <w:rsid w:val="0081348C"/>
    <w:rsid w:val="008263F4"/>
    <w:rsid w:val="0085531A"/>
    <w:rsid w:val="00870AB9"/>
    <w:rsid w:val="008C034A"/>
    <w:rsid w:val="008C4FB2"/>
    <w:rsid w:val="008E1743"/>
    <w:rsid w:val="009372D4"/>
    <w:rsid w:val="0096788E"/>
    <w:rsid w:val="0097081D"/>
    <w:rsid w:val="009A43BE"/>
    <w:rsid w:val="009D228A"/>
    <w:rsid w:val="009D2C02"/>
    <w:rsid w:val="009F6237"/>
    <w:rsid w:val="00A43FA6"/>
    <w:rsid w:val="00A4793A"/>
    <w:rsid w:val="00A71991"/>
    <w:rsid w:val="00A91889"/>
    <w:rsid w:val="00AA1D38"/>
    <w:rsid w:val="00B2359C"/>
    <w:rsid w:val="00B62B67"/>
    <w:rsid w:val="00B669F9"/>
    <w:rsid w:val="00B95BC5"/>
    <w:rsid w:val="00BB1EDD"/>
    <w:rsid w:val="00C06D76"/>
    <w:rsid w:val="00C12813"/>
    <w:rsid w:val="00C16916"/>
    <w:rsid w:val="00C556FF"/>
    <w:rsid w:val="00C6347E"/>
    <w:rsid w:val="00C819EC"/>
    <w:rsid w:val="00C87BF0"/>
    <w:rsid w:val="00C91D1F"/>
    <w:rsid w:val="00CC4761"/>
    <w:rsid w:val="00CD5299"/>
    <w:rsid w:val="00CE14B7"/>
    <w:rsid w:val="00CF7210"/>
    <w:rsid w:val="00D2517A"/>
    <w:rsid w:val="00D34462"/>
    <w:rsid w:val="00D463C6"/>
    <w:rsid w:val="00DA57C5"/>
    <w:rsid w:val="00E37FA8"/>
    <w:rsid w:val="00E84A1A"/>
    <w:rsid w:val="00E871F4"/>
    <w:rsid w:val="00ED088A"/>
    <w:rsid w:val="00ED211E"/>
    <w:rsid w:val="00ED32F2"/>
    <w:rsid w:val="00ED7BAD"/>
    <w:rsid w:val="00F062E7"/>
    <w:rsid w:val="00F26FCE"/>
    <w:rsid w:val="00F76643"/>
    <w:rsid w:val="00FC551B"/>
    <w:rsid w:val="00F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0D3BF"/>
  <w15:chartTrackingRefBased/>
  <w15:docId w15:val="{4963B6C8-CAFC-409E-B5F1-A73CE4B0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0152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1889"/>
    <w:rPr>
      <w:rFonts w:ascii="Segoe UI" w:hAnsi="Segoe UI" w:cs="Segoe UI"/>
      <w:sz w:val="18"/>
      <w:szCs w:val="1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2A1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2A1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2A14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2A1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2A14"/>
    <w:rPr>
      <w:b/>
      <w:bCs/>
      <w:sz w:val="20"/>
      <w:szCs w:val="20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476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C4761"/>
    <w:rPr>
      <w:lang w:val="ro-RO"/>
    </w:rPr>
  </w:style>
  <w:style w:type="character" w:customStyle="1" w:styleId="Titlu3Caracter">
    <w:name w:val="Titlu 3 Caracter"/>
    <w:basedOn w:val="Fontdeparagrafimplicit"/>
    <w:link w:val="Titlu3"/>
    <w:rsid w:val="000152F5"/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character" w:styleId="Hyperlink">
    <w:name w:val="Hyperlink"/>
    <w:basedOn w:val="Fontdeparagrafimplicit"/>
    <w:unhideWhenUsed/>
    <w:rsid w:val="000152F5"/>
    <w:rPr>
      <w:color w:val="0000FF"/>
      <w:u w:val="single"/>
    </w:rPr>
  </w:style>
  <w:style w:type="paragraph" w:styleId="Titlu">
    <w:name w:val="Title"/>
    <w:basedOn w:val="Normal"/>
    <w:link w:val="TitluCaracter"/>
    <w:qFormat/>
    <w:rsid w:val="000152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TitluCaracter">
    <w:name w:val="Titlu Caracter"/>
    <w:basedOn w:val="Fontdeparagrafimplicit"/>
    <w:link w:val="Titlu"/>
    <w:rsid w:val="000152F5"/>
    <w:rPr>
      <w:rFonts w:ascii="Times New Roman" w:eastAsia="Times New Roman" w:hAnsi="Times New Roman" w:cs="Times New Roman"/>
      <w:b/>
      <w:sz w:val="36"/>
      <w:szCs w:val="20"/>
    </w:rPr>
  </w:style>
  <w:style w:type="paragraph" w:styleId="Subtitlu">
    <w:name w:val="Subtitle"/>
    <w:basedOn w:val="Normal"/>
    <w:link w:val="SubtitluCaracter"/>
    <w:qFormat/>
    <w:rsid w:val="000152F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0152F5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Frspaiere">
    <w:name w:val="No Spacing"/>
    <w:uiPriority w:val="1"/>
    <w:qFormat/>
    <w:rsid w:val="000152F5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link w:val="ListparagrafCaracter"/>
    <w:uiPriority w:val="34"/>
    <w:qFormat/>
    <w:rsid w:val="000152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ListparagrafCaracter">
    <w:name w:val="Listă paragraf Caracter"/>
    <w:link w:val="Listparagraf"/>
    <w:uiPriority w:val="34"/>
    <w:locked/>
    <w:rsid w:val="000152F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ccentuat">
    <w:name w:val="Emphasis"/>
    <w:qFormat/>
    <w:rsid w:val="00015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5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gaspc-olt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dgaspc-ol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FA5D-9442-4FD8-AE21-6274F2C3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2134</Words>
  <Characters>12169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MDLPA</dc:creator>
  <cp:keywords/>
  <dc:description/>
  <cp:lastModifiedBy>COMUNICARE</cp:lastModifiedBy>
  <cp:revision>2</cp:revision>
  <cp:lastPrinted>2025-01-09T09:26:00Z</cp:lastPrinted>
  <dcterms:created xsi:type="dcterms:W3CDTF">2026-02-05T10:16:00Z</dcterms:created>
  <dcterms:modified xsi:type="dcterms:W3CDTF">2026-02-05T10:16:00Z</dcterms:modified>
</cp:coreProperties>
</file>